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krper"/>
      </w:pPr>
      <w:r>
        <w:rPr>
          <w:rStyle w:val="Starkbetont"/>
          <w:sz w:val="36"/>
          <w:szCs w:val="36"/>
        </w:rPr>
        <w:t>The Revolution Will Not Be Peer-Reviewed</w:t>
      </w:r>
      <w:r>
        <w:rPr>
          <w:sz w:val="36"/>
          <w:szCs w:val="36"/>
        </w:rPr>
        <w:br/>
      </w:r>
      <w:r>
        <w:rPr>
          <w:rStyle w:val="Starkbetont"/>
          <w:sz w:val="32"/>
          <w:szCs w:val="32"/>
        </w:rPr>
        <w:t>American Disconnects and the Production of Knowledge</w:t>
      </w:r>
      <w:r/>
    </w:p>
    <w:p>
      <w:pPr>
        <w:pStyle w:val="Textkrper"/>
      </w:pPr>
      <w:r>
        <w:rPr>
          <w:rStyle w:val="Betont"/>
        </w:rPr>
        <w:t xml:space="preserve">Graduate Conference at the Graduate School of North American Studies </w:t>
      </w:r>
      <w:r>
        <w:rPr/>
        <w:br/>
      </w:r>
      <w:r>
        <w:rPr>
          <w:rStyle w:val="Betont"/>
        </w:rPr>
        <w:t>John F. Kennedy Institute, Freie Universität Berlin – May 5 and 6, 2017</w:t>
      </w:r>
      <w:r/>
    </w:p>
    <w:tbl>
      <w:tblPr>
        <w:tblW w:w="9643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187"/>
        <w:gridCol w:w="8456"/>
      </w:tblGrid>
      <w:tr>
        <w:trPr/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lang w:val="en-US"/>
              </w:rPr>
            </w:pPr>
            <w:r>
              <w:rPr>
                <w:lang w:val="en-US"/>
              </w:rPr>
            </w:r>
            <w:r/>
          </w:p>
        </w:tc>
        <w:tc>
          <w:tcPr>
            <w:tcW w:w="8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Friday </w:t>
            </w:r>
            <w:r>
              <w:rPr>
                <w:b/>
                <w:bCs/>
                <w:sz w:val="32"/>
                <w:szCs w:val="32"/>
                <w:lang w:val="en-US"/>
              </w:rPr>
              <w:t>(May 5)</w:t>
            </w:r>
            <w:r/>
          </w:p>
        </w:tc>
      </w:tr>
      <w:tr>
        <w:trPr/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lang w:val="en-US"/>
              </w:rPr>
            </w:pPr>
            <w:r>
              <w:rPr>
                <w:lang w:val="en-US"/>
              </w:rPr>
              <w:t>From 8:30</w:t>
            </w:r>
            <w:r/>
          </w:p>
        </w:tc>
        <w:tc>
          <w:tcPr>
            <w:tcW w:w="8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lang w:val="en-US"/>
              </w:rPr>
            </w:pPr>
            <w:r>
              <w:rPr>
                <w:lang w:val="en-US"/>
              </w:rPr>
              <w:t xml:space="preserve">Registration </w:t>
            </w:r>
            <w:r/>
          </w:p>
        </w:tc>
      </w:tr>
      <w:tr>
        <w:trPr/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lang w:val="en-US"/>
              </w:rPr>
            </w:pPr>
            <w:r>
              <w:rPr>
                <w:lang w:val="en-US"/>
              </w:rPr>
              <w:t>9:00</w:t>
            </w:r>
            <w:r/>
          </w:p>
        </w:tc>
        <w:tc>
          <w:tcPr>
            <w:tcW w:w="8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</w:pPr>
            <w:r>
              <w:rPr>
                <w:b/>
                <w:bCs/>
                <w:lang w:val="en-US"/>
              </w:rPr>
              <w:t>Opening remarks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by Prof. Frank Kelleter (JFKI)</w:t>
            </w:r>
            <w:r/>
          </w:p>
        </w:tc>
      </w:tr>
      <w:tr>
        <w:trPr/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lang w:val="en-US"/>
              </w:rPr>
            </w:pPr>
            <w:r>
              <w:rPr>
                <w:lang w:val="en-US"/>
              </w:rPr>
              <w:t>9:30</w:t>
            </w:r>
            <w:r/>
          </w:p>
        </w:tc>
        <w:tc>
          <w:tcPr>
            <w:tcW w:w="8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both"/>
            </w:pPr>
            <w:r>
              <w:rPr>
                <w:lang w:val="en-US"/>
              </w:rPr>
              <w:t xml:space="preserve">Panel: </w:t>
            </w:r>
            <w:r>
              <w:rPr>
                <w:b/>
                <w:bCs/>
                <w:lang w:val="en-US"/>
              </w:rPr>
              <w:t>The Politics of</w:t>
            </w:r>
            <w:r>
              <w:rPr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Academic Knowledge</w:t>
            </w:r>
            <w:r/>
          </w:p>
          <w:p>
            <w:pPr>
              <w:pStyle w:val="TabellenInhalt"/>
              <w:numPr>
                <w:ilvl w:val="0"/>
                <w:numId w:val="1"/>
              </w:numPr>
            </w:pPr>
            <w:r>
              <w:rPr>
                <w:lang w:val="en-US"/>
              </w:rPr>
              <w:t xml:space="preserve">Heleen Blommers (Vrije Universiteit, Amsterdam): “Lyndon B. Johnson and the experts: How </w:t>
            </w:r>
            <w:r>
              <w:rPr>
                <w:b w:val="false"/>
                <w:bCs w:val="false"/>
                <w:lang w:val="en-US"/>
              </w:rPr>
              <w:t>Academia</w:t>
            </w:r>
            <w:r>
              <w:rPr>
                <w:lang w:val="en-US"/>
              </w:rPr>
              <w:t xml:space="preserve"> shaped the War on Poverty”</w:t>
            </w:r>
            <w:r/>
          </w:p>
          <w:p>
            <w:pPr>
              <w:pStyle w:val="TabellenInhalt"/>
              <w:numPr>
                <w:ilvl w:val="0"/>
                <w:numId w:val="1"/>
              </w:numPr>
            </w:pPr>
            <w:r>
              <w:rPr>
                <w:lang w:val="en-US"/>
              </w:rPr>
              <w:t>Gonçalo Piolti Cholant (</w:t>
            </w:r>
            <w:r>
              <w:rPr>
                <w:i w:val="false"/>
                <w:iCs w:val="false"/>
                <w:lang w:val="pt-PT"/>
              </w:rPr>
              <w:t>Universidade de Coimbra</w:t>
            </w:r>
            <w:r>
              <w:rPr>
                <w:lang w:val="en-US"/>
              </w:rPr>
              <w:t>): “From Intersectionality to an Ecology of Knowledges”</w:t>
            </w:r>
            <w:r/>
          </w:p>
          <w:p>
            <w:pPr>
              <w:pStyle w:val="TabellenInhalt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Rahab Njeri (Universität Trier): “Reclaiming Black Spaces in German Academia”</w:t>
            </w:r>
            <w:r/>
          </w:p>
        </w:tc>
      </w:tr>
      <w:tr>
        <w:trPr/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lang w:val="en-US"/>
              </w:rPr>
            </w:pPr>
            <w:r>
              <w:rPr>
                <w:lang w:val="en-US"/>
              </w:rPr>
              <w:t>11:00</w:t>
            </w:r>
            <w:r/>
          </w:p>
        </w:tc>
        <w:tc>
          <w:tcPr>
            <w:tcW w:w="8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lang w:val="en-US"/>
              </w:rPr>
            </w:pPr>
            <w:r>
              <w:rPr>
                <w:lang w:val="en-US"/>
              </w:rPr>
              <w:t>- break -</w:t>
            </w:r>
            <w:r/>
          </w:p>
        </w:tc>
      </w:tr>
      <w:tr>
        <w:trPr/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lang w:val="en-US"/>
              </w:rPr>
            </w:pPr>
            <w:r>
              <w:rPr>
                <w:lang w:val="en-US"/>
              </w:rPr>
              <w:t xml:space="preserve">11:30 </w:t>
            </w:r>
            <w:r/>
          </w:p>
        </w:tc>
        <w:tc>
          <w:tcPr>
            <w:tcW w:w="8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both"/>
            </w:pPr>
            <w:r>
              <w:rPr>
                <w:color w:val="000000"/>
                <w:lang w:val="en-US"/>
              </w:rPr>
              <w:t xml:space="preserve">Panel: </w:t>
            </w:r>
            <w:r>
              <w:rPr>
                <w:b/>
                <w:bCs/>
                <w:color w:val="000000"/>
                <w:lang w:val="en-US"/>
              </w:rPr>
              <w:t>Poetics of Dis/Reconnection</w:t>
            </w:r>
            <w:r/>
          </w:p>
          <w:p>
            <w:pPr>
              <w:pStyle w:val="TabellenInhalt"/>
              <w:numPr>
                <w:ilvl w:val="0"/>
                <w:numId w:val="2"/>
              </w:numPr>
            </w:pPr>
            <w:r>
              <w:rPr>
                <w:color w:val="000000"/>
                <w:lang w:val="en-US"/>
              </w:rPr>
              <w:t xml:space="preserve">Johannes Kohrs (FU Berlin): “The Black Radical in the Ivory Tower: Satire Satirized in Percival Everett’s </w:t>
            </w:r>
            <w:r>
              <w:rPr>
                <w:i/>
                <w:iCs/>
                <w:color w:val="000000"/>
                <w:lang w:val="en-US"/>
              </w:rPr>
              <w:t>erasure</w:t>
            </w:r>
            <w:r>
              <w:rPr>
                <w:color w:val="000000"/>
                <w:lang w:val="en-US"/>
              </w:rPr>
              <w:t>”</w:t>
            </w:r>
            <w:r/>
          </w:p>
          <w:p>
            <w:pPr>
              <w:pStyle w:val="TabellenInhalt"/>
              <w:numPr>
                <w:ilvl w:val="0"/>
                <w:numId w:val="2"/>
              </w:numPr>
            </w:pPr>
            <w:r>
              <w:rPr>
                <w:color w:val="000000"/>
                <w:lang w:val="en-US"/>
              </w:rPr>
              <w:t>Riley Nisbet (Albert-Ludwigs-Universität Freiburg): “</w:t>
            </w:r>
            <w:r>
              <w:rPr>
                <w:lang w:val="en-US"/>
              </w:rPr>
              <w:t>Radical Code Switching and Immigrant Identity in Junot Diaz's 'The Brief Wonderous Life of Oscar Wao</w:t>
            </w:r>
            <w:r>
              <w:rPr>
                <w:lang w:val="en-US"/>
              </w:rPr>
              <w:t>'</w:t>
            </w:r>
            <w:r>
              <w:rPr>
                <w:lang w:val="en-US"/>
              </w:rPr>
              <w:t>”</w:t>
            </w:r>
            <w:r/>
          </w:p>
          <w:p>
            <w:pPr>
              <w:pStyle w:val="TabellenInhalt"/>
              <w:numPr>
                <w:ilvl w:val="0"/>
                <w:numId w:val="2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Najoua Stambouli (Faculty of Arts and Human Sciences, Sousse): “Postmodern Poetics in Adrienne Rich’s 'Heroines': A Step toward Social Change”</w:t>
            </w:r>
            <w:r/>
          </w:p>
        </w:tc>
      </w:tr>
      <w:tr>
        <w:trPr/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lang w:val="en-US"/>
              </w:rPr>
            </w:pPr>
            <w:r>
              <w:rPr>
                <w:lang w:val="en-US"/>
              </w:rPr>
              <w:t>13:00</w:t>
            </w:r>
            <w:r/>
          </w:p>
        </w:tc>
        <w:tc>
          <w:tcPr>
            <w:tcW w:w="8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lang w:val="en-US"/>
              </w:rPr>
            </w:pPr>
            <w:r>
              <w:rPr>
                <w:lang w:val="en-US"/>
              </w:rPr>
              <w:t xml:space="preserve">– </w:t>
            </w:r>
            <w:r>
              <w:rPr>
                <w:lang w:val="en-US"/>
              </w:rPr>
              <w:t>lunch break –</w:t>
            </w:r>
            <w:r/>
          </w:p>
        </w:tc>
      </w:tr>
      <w:tr>
        <w:trPr/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lang w:val="en-US"/>
              </w:rPr>
            </w:pPr>
            <w:r>
              <w:rPr>
                <w:lang w:val="en-US"/>
              </w:rPr>
              <w:t>14:00</w:t>
            </w:r>
            <w:r/>
          </w:p>
        </w:tc>
        <w:tc>
          <w:tcPr>
            <w:tcW w:w="8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both"/>
            </w:pPr>
            <w:r>
              <w:rPr>
                <w:b w:val="false"/>
                <w:bCs w:val="false"/>
                <w:lang w:val="en-US"/>
              </w:rPr>
              <w:t>Panel:</w:t>
            </w:r>
            <w:r>
              <w:rPr>
                <w:b/>
                <w:bCs/>
                <w:lang w:val="en-US"/>
              </w:rPr>
              <w:t xml:space="preserve"> Trump and </w:t>
            </w:r>
            <w:r>
              <w:rPr>
                <w:b/>
                <w:bCs/>
                <w:lang w:val="en-US"/>
              </w:rPr>
              <w:t xml:space="preserve">the </w:t>
            </w:r>
            <w:r>
              <w:rPr>
                <w:b/>
                <w:bCs/>
                <w:lang w:val="en-US"/>
              </w:rPr>
              <w:t>Circumstances: The Making of a New Populism</w:t>
            </w:r>
            <w:r/>
          </w:p>
          <w:p>
            <w:pPr>
              <w:pStyle w:val="TabellenInhalt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Katharina Thalmann (Universität Tübingen): “Conspiracy Theory in the Age of Trump(ism)”</w:t>
            </w:r>
            <w:r/>
          </w:p>
          <w:p>
            <w:pPr>
              <w:pStyle w:val="TabellenInhalt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Simon Schleusener (FU Berlin): “Political Disconnects: Donald Trump, the Cultural Left, and the Crisis of Neoliberalism”</w:t>
            </w:r>
            <w:r/>
          </w:p>
        </w:tc>
      </w:tr>
      <w:tr>
        <w:trPr/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</w:pPr>
            <w:r>
              <w:rPr>
                <w:lang w:val="en-US"/>
              </w:rPr>
              <w:t>15:</w:t>
            </w:r>
            <w:r>
              <w:rPr>
                <w:lang w:val="en-US"/>
              </w:rPr>
              <w:t>0</w:t>
            </w:r>
            <w:r>
              <w:rPr>
                <w:lang w:val="en-US"/>
              </w:rPr>
              <w:t>0</w:t>
            </w:r>
            <w:r/>
          </w:p>
        </w:tc>
        <w:tc>
          <w:tcPr>
            <w:tcW w:w="8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lang w:val="en-US"/>
              </w:rPr>
            </w:pPr>
            <w:r>
              <w:rPr>
                <w:lang w:val="en-US"/>
              </w:rPr>
              <w:t xml:space="preserve">– </w:t>
            </w:r>
            <w:r>
              <w:rPr>
                <w:lang w:val="en-US"/>
              </w:rPr>
              <w:t>break –</w:t>
            </w:r>
            <w:r/>
          </w:p>
        </w:tc>
      </w:tr>
      <w:tr>
        <w:trPr/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</w:pPr>
            <w:r>
              <w:rPr>
                <w:lang w:val="en-US"/>
              </w:rPr>
              <w:t>1</w:t>
            </w:r>
            <w:r>
              <w:rPr>
                <w:lang w:val="en-US"/>
              </w:rPr>
              <w:t>5</w:t>
            </w:r>
            <w:r>
              <w:rPr>
                <w:lang w:val="en-US"/>
              </w:rPr>
              <w:t>:</w:t>
            </w:r>
            <w:r>
              <w:rPr>
                <w:lang w:val="en-US"/>
              </w:rPr>
              <w:t>3</w:t>
            </w:r>
            <w:r>
              <w:rPr>
                <w:lang w:val="en-US"/>
              </w:rPr>
              <w:t>0</w:t>
            </w:r>
            <w:r/>
          </w:p>
        </w:tc>
        <w:tc>
          <w:tcPr>
            <w:tcW w:w="8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both"/>
            </w:pPr>
            <w:r>
              <w:rPr>
                <w:lang w:val="en-US"/>
              </w:rPr>
              <w:t xml:space="preserve">Panel: </w:t>
            </w:r>
            <w:r>
              <w:rPr>
                <w:b/>
                <w:bCs/>
                <w:i w:val="false"/>
                <w:iCs w:val="false"/>
                <w:lang w:val="en-US"/>
              </w:rPr>
              <w:t>Disconnected:</w:t>
            </w:r>
            <w:r>
              <w:rPr>
                <w:i w:val="false"/>
                <w:iCs w:val="false"/>
                <w:lang w:val="en-US"/>
              </w:rPr>
              <w:t xml:space="preserve"> </w:t>
            </w:r>
            <w:r>
              <w:rPr>
                <w:b/>
                <w:bCs/>
                <w:i w:val="false"/>
                <w:iCs w:val="false"/>
                <w:lang w:val="en-US"/>
              </w:rPr>
              <w:t>Questioning the Academic Production of Knowledge</w:t>
            </w:r>
            <w:r/>
          </w:p>
          <w:p>
            <w:pPr>
              <w:pStyle w:val="TabellenInhalt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Thorn Kray (JLU Gießen): “Unpractical, Inaccessible, Contentious, and Always Ready for Critique: Four Reasons Why the Humanities Are Disconnected From Civil Society”</w:t>
            </w:r>
            <w:r/>
          </w:p>
          <w:p>
            <w:pPr>
              <w:pStyle w:val="TabellenInhalt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Madita Oeming (Universität Paderborn): “Out of the Box – Lessons Learnt from Being a Porn Scholar”</w:t>
            </w:r>
            <w:r/>
          </w:p>
          <w:p>
            <w:pPr>
              <w:pStyle w:val="TabellenInhalt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Fabius Mayland (FU Berlin): “Attached You Find My Proposal”</w:t>
            </w:r>
            <w:r/>
          </w:p>
        </w:tc>
      </w:tr>
      <w:tr>
        <w:trPr/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</w:pPr>
            <w:r>
              <w:rPr>
                <w:lang w:val="en-US"/>
              </w:rPr>
              <w:t>17:</w:t>
            </w:r>
            <w:r>
              <w:rPr>
                <w:lang w:val="en-US"/>
              </w:rPr>
              <w:t>0</w:t>
            </w:r>
            <w:r>
              <w:rPr>
                <w:lang w:val="en-US"/>
              </w:rPr>
              <w:t>0</w:t>
            </w:r>
            <w:r/>
          </w:p>
        </w:tc>
        <w:tc>
          <w:tcPr>
            <w:tcW w:w="8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lang w:val="en-US"/>
              </w:rPr>
            </w:pPr>
            <w:r>
              <w:rPr>
                <w:lang w:val="en-US"/>
              </w:rPr>
              <w:t xml:space="preserve">– </w:t>
            </w:r>
            <w:r>
              <w:rPr>
                <w:lang w:val="en-US"/>
              </w:rPr>
              <w:t>break –</w:t>
            </w:r>
            <w:r/>
          </w:p>
        </w:tc>
      </w:tr>
      <w:tr>
        <w:trPr/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</w:pPr>
            <w:r>
              <w:rPr>
                <w:lang w:val="en-US"/>
              </w:rPr>
              <w:t>1</w:t>
            </w:r>
            <w:r>
              <w:rPr>
                <w:lang w:val="en-US"/>
              </w:rPr>
              <w:t>7</w:t>
            </w:r>
            <w:r>
              <w:rPr>
                <w:lang w:val="en-US"/>
              </w:rPr>
              <w:t>:</w:t>
            </w:r>
            <w:r>
              <w:rPr>
                <w:lang w:val="en-US"/>
              </w:rPr>
              <w:t>3</w:t>
            </w:r>
            <w:r>
              <w:rPr>
                <w:lang w:val="en-US"/>
              </w:rPr>
              <w:t>0</w:t>
            </w:r>
            <w:r/>
          </w:p>
        </w:tc>
        <w:tc>
          <w:tcPr>
            <w:tcW w:w="8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</w:pPr>
            <w:r>
              <w:rPr>
                <w:lang w:val="en-US"/>
              </w:rPr>
              <w:t xml:space="preserve">Keynote: </w:t>
            </w:r>
            <w:r>
              <w:rPr>
                <w:b w:val="false"/>
                <w:bCs w:val="false"/>
                <w:lang w:val="en-US"/>
              </w:rPr>
              <w:t xml:space="preserve">Larycia Hawkins (University of Virginia): </w:t>
            </w:r>
            <w:r/>
          </w:p>
          <w:p>
            <w:pPr>
              <w:pStyle w:val="TabellenInhalt"/>
            </w:pPr>
            <w:r>
              <w:rPr>
                <w:b/>
                <w:bCs/>
                <w:lang w:val="en-US"/>
              </w:rPr>
              <w:t>“</w:t>
            </w:r>
            <w:r>
              <w:rPr>
                <w:b/>
                <w:bCs/>
              </w:rPr>
              <w:t>Academic Freedom in the Iron Cage of the Ivory Tower</w:t>
            </w:r>
            <w:r>
              <w:rPr>
                <w:b/>
                <w:bCs/>
                <w:lang w:val="en-US"/>
              </w:rPr>
              <w:t>”</w:t>
            </w:r>
            <w:r/>
          </w:p>
        </w:tc>
      </w:tr>
      <w:tr>
        <w:trPr/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lang w:val="en-US"/>
              </w:rPr>
            </w:pPr>
            <w:r>
              <w:rPr>
                <w:lang w:val="en-US"/>
              </w:rPr>
              <w:t>After</w:t>
            </w:r>
            <w:r/>
          </w:p>
        </w:tc>
        <w:tc>
          <w:tcPr>
            <w:tcW w:w="8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lang w:val="en-US"/>
              </w:rPr>
            </w:pPr>
            <w:r>
              <w:rPr>
                <w:lang w:val="en-US"/>
              </w:rPr>
              <w:t>Dinner</w:t>
            </w:r>
            <w:r/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</w:r>
      <w:r/>
    </w:p>
    <w:p>
      <w:pPr>
        <w:pStyle w:val="Normal"/>
        <w:rPr>
          <w:lang w:val="en-US"/>
        </w:rPr>
      </w:pPr>
      <w:r>
        <w:rPr>
          <w:lang w:val="en-US"/>
        </w:rPr>
      </w:r>
      <w:r/>
    </w:p>
    <w:tbl>
      <w:tblPr>
        <w:tblW w:w="9643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187"/>
        <w:gridCol w:w="8456"/>
      </w:tblGrid>
      <w:tr>
        <w:trPr/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lang w:val="en-US"/>
              </w:rPr>
            </w:pPr>
            <w:r>
              <w:rPr>
                <w:lang w:val="en-US"/>
              </w:rPr>
            </w:r>
            <w:r/>
          </w:p>
        </w:tc>
        <w:tc>
          <w:tcPr>
            <w:tcW w:w="8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Saturday </w:t>
            </w:r>
            <w:r>
              <w:rPr>
                <w:b/>
                <w:bCs/>
                <w:sz w:val="32"/>
                <w:szCs w:val="32"/>
                <w:lang w:val="en-US"/>
              </w:rPr>
              <w:t>(May 6)</w:t>
            </w:r>
            <w:r/>
          </w:p>
        </w:tc>
      </w:tr>
      <w:tr>
        <w:trPr/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</w:pPr>
            <w:r>
              <w:rPr>
                <w:lang w:val="en-US"/>
              </w:rPr>
              <w:t>1</w:t>
            </w:r>
            <w:r>
              <w:rPr>
                <w:lang w:val="en-US"/>
              </w:rPr>
              <w:t>1:30</w:t>
            </w:r>
            <w:r/>
          </w:p>
        </w:tc>
        <w:tc>
          <w:tcPr>
            <w:tcW w:w="8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both"/>
            </w:pPr>
            <w:r>
              <w:rPr>
                <w:lang w:val="en-US"/>
              </w:rPr>
              <w:t xml:space="preserve">Panel: </w:t>
            </w:r>
            <w:r>
              <w:rPr>
                <w:b/>
                <w:bCs/>
                <w:lang w:val="en-US"/>
              </w:rPr>
              <w:t>Performing Politics: Activism in Popular Culture</w:t>
            </w:r>
            <w:r/>
          </w:p>
          <w:p>
            <w:pPr>
              <w:pStyle w:val="TabellenInhalt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Ewa Adamkiewicz (Karl-Franzens-Universität Graz): “Traditions of Black Dissent: Beyoncé and Kendrick Lamar”</w:t>
            </w:r>
            <w:r/>
          </w:p>
          <w:p>
            <w:pPr>
              <w:pStyle w:val="TabellenInhalt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Teresa Teklic (Albert-Ludwigs-Universität Freiburg): “The Stories We Tell: Cultural Activism in Miranda July and Harrell Fletcher’s Art Project Learning To Love You More”</w:t>
            </w:r>
            <w:r/>
          </w:p>
          <w:p>
            <w:pPr>
              <w:pStyle w:val="TabellenInhalt"/>
              <w:numPr>
                <w:ilvl w:val="0"/>
                <w:numId w:val="5"/>
              </w:numPr>
              <w:jc w:val="both"/>
            </w:pPr>
            <w:r>
              <w:rPr>
                <w:b w:val="false"/>
                <w:bCs w:val="false"/>
                <w:color w:val="000000"/>
                <w:lang w:val="en-US"/>
              </w:rPr>
              <w:t xml:space="preserve">Lee Flamand (FU Berlin): “Entertainment is the New Activism: The Impassioned Politics of </w:t>
            </w:r>
            <w:r>
              <w:rPr>
                <w:b w:val="false"/>
                <w:bCs w:val="false"/>
                <w:i/>
                <w:iCs/>
                <w:color w:val="000000"/>
                <w:lang w:val="en-US"/>
              </w:rPr>
              <w:t>Orange is the New Black</w:t>
            </w:r>
            <w:r>
              <w:rPr>
                <w:b w:val="false"/>
                <w:bCs w:val="false"/>
                <w:color w:val="000000"/>
                <w:lang w:val="en-US"/>
              </w:rPr>
              <w:t>”</w:t>
            </w:r>
            <w:r/>
          </w:p>
        </w:tc>
      </w:tr>
      <w:tr>
        <w:trPr/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</w:pPr>
            <w:r>
              <w:rPr>
                <w:lang w:val="en-US"/>
              </w:rPr>
              <w:t>1</w:t>
            </w:r>
            <w:r>
              <w:rPr>
                <w:lang w:val="en-US"/>
              </w:rPr>
              <w:t>3:0</w:t>
            </w:r>
            <w:r>
              <w:rPr>
                <w:lang w:val="en-US"/>
              </w:rPr>
              <w:t>0</w:t>
            </w:r>
            <w:r/>
          </w:p>
        </w:tc>
        <w:tc>
          <w:tcPr>
            <w:tcW w:w="8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lang w:val="en-US"/>
              </w:rPr>
            </w:pPr>
            <w:r>
              <w:rPr>
                <w:lang w:val="en-US"/>
              </w:rPr>
              <w:t xml:space="preserve">– </w:t>
            </w:r>
            <w:r>
              <w:rPr>
                <w:lang w:val="en-US"/>
              </w:rPr>
              <w:t>lunch break –</w:t>
            </w:r>
            <w:r/>
          </w:p>
        </w:tc>
      </w:tr>
      <w:tr>
        <w:trPr/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lang w:val="en-US"/>
              </w:rPr>
            </w:pPr>
            <w:r>
              <w:rPr>
                <w:lang w:val="en-US"/>
              </w:rPr>
              <w:t>14:00</w:t>
            </w:r>
            <w:r/>
          </w:p>
        </w:tc>
        <w:tc>
          <w:tcPr>
            <w:tcW w:w="8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left"/>
            </w:pPr>
            <w:r>
              <w:rPr>
                <w:lang w:val="en-US"/>
              </w:rPr>
              <w:t xml:space="preserve">Panel: </w:t>
            </w:r>
            <w:r>
              <w:rPr>
                <w:b/>
                <w:bCs/>
                <w:lang w:val="en-US"/>
              </w:rPr>
              <w:t xml:space="preserve">America in </w:t>
            </w:r>
            <w:r>
              <w:rPr>
                <w:b/>
                <w:bCs/>
                <w:lang w:val="en-US"/>
              </w:rPr>
              <w:t xml:space="preserve">Global </w:t>
            </w:r>
            <w:r>
              <w:rPr>
                <w:b/>
                <w:bCs/>
                <w:lang w:val="en-US"/>
              </w:rPr>
              <w:t xml:space="preserve">Perspectives </w:t>
            </w:r>
            <w:r/>
          </w:p>
          <w:p>
            <w:pPr>
              <w:pStyle w:val="TabellenInhalt"/>
              <w:numPr>
                <w:ilvl w:val="0"/>
                <w:numId w:val="6"/>
              </w:numPr>
              <w:jc w:val="left"/>
              <w:rPr>
                <w:lang w:val="en-US"/>
              </w:rPr>
            </w:pPr>
            <w:r>
              <w:rPr>
                <w:lang w:val="en-US"/>
              </w:rPr>
              <w:t>Karin Louise Hermes (HU Berlin): “'We are not Americans!' – Indigenous Sovereignty in Hawai‘i in the Age of Trump”</w:t>
            </w:r>
            <w:r/>
          </w:p>
          <w:p>
            <w:pPr>
              <w:pStyle w:val="TabellenInhalt"/>
              <w:numPr>
                <w:ilvl w:val="0"/>
                <w:numId w:val="7"/>
              </w:numPr>
              <w:jc w:val="left"/>
              <w:rPr>
                <w:lang w:val="en-US"/>
              </w:rPr>
            </w:pPr>
            <w:r>
              <w:rPr>
                <w:lang w:val="en-US"/>
              </w:rPr>
              <w:t>Olga Korytowska (Polish Academy of Sciences, Warsaw): “American studies and gender trouble: ‘gender’ as a foreign ideology in right-wing Polish discourse”</w:t>
            </w:r>
            <w:r/>
          </w:p>
        </w:tc>
      </w:tr>
      <w:tr>
        <w:trPr/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</w:pPr>
            <w:r>
              <w:rPr>
                <w:lang w:val="en-US"/>
              </w:rPr>
              <w:t>1</w:t>
            </w:r>
            <w:r>
              <w:rPr>
                <w:lang w:val="en-US"/>
              </w:rPr>
              <w:t>5:00</w:t>
            </w:r>
            <w:r/>
          </w:p>
        </w:tc>
        <w:tc>
          <w:tcPr>
            <w:tcW w:w="8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</w:pPr>
            <w:r>
              <w:rPr>
                <w:lang w:val="en-US"/>
              </w:rPr>
              <w:t xml:space="preserve">– </w:t>
            </w:r>
            <w:r>
              <w:rPr>
                <w:lang w:val="en-US"/>
              </w:rPr>
              <w:t>break</w:t>
            </w:r>
            <w:r>
              <w:rPr>
                <w:lang w:val="en-US"/>
              </w:rPr>
              <w:t xml:space="preserve"> –</w:t>
            </w:r>
            <w:r/>
          </w:p>
        </w:tc>
      </w:tr>
      <w:tr>
        <w:trPr/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</w:pPr>
            <w:r>
              <w:rPr>
                <w:lang w:val="en-US"/>
              </w:rPr>
              <w:t>1</w:t>
            </w:r>
            <w:r>
              <w:rPr>
                <w:lang w:val="en-US"/>
              </w:rPr>
              <w:t>5:3</w:t>
            </w:r>
            <w:r>
              <w:rPr>
                <w:lang w:val="en-US"/>
              </w:rPr>
              <w:t>0</w:t>
            </w:r>
            <w:r/>
          </w:p>
        </w:tc>
        <w:tc>
          <w:tcPr>
            <w:tcW w:w="8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</w:pPr>
            <w:r>
              <w:rPr>
                <w:lang w:val="en-US"/>
              </w:rPr>
              <w:t xml:space="preserve">Panel: </w:t>
            </w:r>
            <w:r>
              <w:rPr>
                <w:b/>
                <w:bCs/>
                <w:lang w:val="en-US"/>
              </w:rPr>
              <w:t>Reconnecting: Movement</w:t>
            </w:r>
            <w:r>
              <w:rPr>
                <w:b/>
                <w:bCs/>
                <w:lang w:val="en-US"/>
              </w:rPr>
              <w:t>s</w:t>
            </w:r>
            <w:r>
              <w:rPr>
                <w:b/>
                <w:bCs/>
                <w:lang w:val="en-US"/>
              </w:rPr>
              <w:t xml:space="preserve"> in the University </w:t>
            </w:r>
            <w:r>
              <w:rPr>
                <w:b/>
                <w:bCs/>
                <w:lang w:val="en-US"/>
              </w:rPr>
              <w:t>and Beyond</w:t>
            </w:r>
            <w:r/>
          </w:p>
          <w:p>
            <w:pPr>
              <w:pStyle w:val="TabellenInhalt"/>
              <w:numPr>
                <w:ilvl w:val="0"/>
                <w:numId w:val="8"/>
              </w:numPr>
            </w:pPr>
            <w:r>
              <w:rPr>
                <w:b w:val="false"/>
                <w:bCs w:val="false"/>
                <w:lang w:val="en-US"/>
              </w:rPr>
              <w:t>Amanda Priebe (</w:t>
            </w:r>
            <w:r>
              <w:rPr>
                <w:b w:val="false"/>
                <w:bCs w:val="false"/>
                <w:i/>
                <w:iCs/>
                <w:lang w:val="en-US"/>
              </w:rPr>
              <w:t xml:space="preserve">Abolition </w:t>
            </w:r>
            <w:r>
              <w:rPr>
                <w:b w:val="false"/>
                <w:bCs w:val="false"/>
                <w:i w:val="false"/>
                <w:iCs w:val="false"/>
                <w:lang w:val="en-US"/>
              </w:rPr>
              <w:t>Journal</w:t>
            </w:r>
            <w:r>
              <w:rPr>
                <w:b w:val="false"/>
                <w:bCs w:val="false"/>
                <w:lang w:val="en-US"/>
              </w:rPr>
              <w:t>):  “</w:t>
            </w:r>
            <w:r>
              <w:rPr/>
              <w:t>Against and Beyond Academia: the Abolition Journal Project“</w:t>
            </w:r>
            <w:r/>
          </w:p>
          <w:p>
            <w:pPr>
              <w:pStyle w:val="TabellenInhalt"/>
              <w:numPr>
                <w:ilvl w:val="0"/>
                <w:numId w:val="8"/>
              </w:numPr>
              <w:rPr>
                <w:b w:val="false"/>
                <w:b w:val="false"/>
                <w:bCs w:val="false"/>
                <w:lang w:val="en-US"/>
              </w:rPr>
            </w:pPr>
            <w:r>
              <w:rPr>
                <w:b w:val="false"/>
                <w:bCs w:val="false"/>
                <w:lang w:val="en-US"/>
              </w:rPr>
              <w:t>Michael C. Gilbert (independent researcher): “The Third Sector Becomes Movement: Academia-in-Civil-Society at the Existential Abyss”</w:t>
            </w:r>
            <w:r/>
          </w:p>
        </w:tc>
      </w:tr>
      <w:tr>
        <w:trPr/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</w:pPr>
            <w:r>
              <w:rPr>
                <w:lang w:val="en-US"/>
              </w:rPr>
              <w:t>1</w:t>
            </w:r>
            <w:r>
              <w:rPr>
                <w:lang w:val="en-US"/>
              </w:rPr>
              <w:t>6</w:t>
            </w:r>
            <w:r>
              <w:rPr>
                <w:lang w:val="en-US"/>
              </w:rPr>
              <w:t>:</w:t>
            </w:r>
            <w:r>
              <w:rPr>
                <w:lang w:val="en-US"/>
              </w:rPr>
              <w:t>30</w:t>
            </w:r>
            <w:r/>
          </w:p>
        </w:tc>
        <w:tc>
          <w:tcPr>
            <w:tcW w:w="8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lang w:val="en-US"/>
              </w:rPr>
            </w:pPr>
            <w:r>
              <w:rPr>
                <w:lang w:val="en-US"/>
              </w:rPr>
              <w:t xml:space="preserve">– </w:t>
            </w:r>
            <w:r>
              <w:rPr>
                <w:lang w:val="en-US"/>
              </w:rPr>
              <w:t>break –</w:t>
            </w:r>
            <w:r/>
          </w:p>
        </w:tc>
      </w:tr>
      <w:tr>
        <w:trPr/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</w:pPr>
            <w:r>
              <w:rPr>
                <w:lang w:val="en-US"/>
              </w:rPr>
              <w:t>1</w:t>
            </w:r>
            <w:r>
              <w:rPr>
                <w:lang w:val="en-US"/>
              </w:rPr>
              <w:t>7:00</w:t>
            </w:r>
            <w:r/>
          </w:p>
        </w:tc>
        <w:tc>
          <w:tcPr>
            <w:tcW w:w="8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left"/>
            </w:pPr>
            <w:r>
              <w:rPr>
                <w:b/>
                <w:bCs/>
                <w:lang w:val="en-US"/>
              </w:rPr>
              <w:t>“</w:t>
            </w:r>
            <w:r>
              <w:rPr>
                <w:b/>
                <w:bCs/>
                <w:lang w:val="en-US"/>
              </w:rPr>
              <w:t>M</w:t>
            </w:r>
            <w:r>
              <w:rPr>
                <w:b/>
                <w:bCs/>
                <w:lang w:val="en-US"/>
              </w:rPr>
              <w:t>edia, New Authoritarianism, and the Trials of the Next Left”</w:t>
            </w:r>
            <w:r>
              <w:rPr>
                <w:lang w:val="en-US"/>
              </w:rPr>
              <w:t xml:space="preserve"> </w:t>
            </w:r>
            <w:r/>
          </w:p>
          <w:p>
            <w:pPr>
              <w:pStyle w:val="TabellenInhalt"/>
              <w:jc w:val="left"/>
            </w:pPr>
            <w:r>
              <w:rPr>
                <w:lang w:val="en-US"/>
              </w:rPr>
              <w:t xml:space="preserve">A Roundtable Discussion with </w:t>
            </w:r>
            <w:r>
              <w:rPr>
                <w:b w:val="false"/>
                <w:bCs w:val="false"/>
                <w:lang w:val="en-US"/>
              </w:rPr>
              <w:t>Chris Spannos (</w:t>
            </w:r>
            <w:r>
              <w:rPr>
                <w:b w:val="false"/>
                <w:bCs w:val="false"/>
                <w:i/>
                <w:iCs/>
                <w:lang w:val="en-US"/>
              </w:rPr>
              <w:t>New Internationalist</w:t>
            </w:r>
            <w:r>
              <w:rPr>
                <w:b w:val="false"/>
                <w:bCs w:val="false"/>
                <w:lang w:val="en-US"/>
              </w:rPr>
              <w:t xml:space="preserve">) and </w:t>
            </w:r>
            <w:r/>
          </w:p>
          <w:p>
            <w:pPr>
              <w:pStyle w:val="TabellenInhalt"/>
              <w:jc w:val="left"/>
            </w:pPr>
            <w:r>
              <w:rPr>
                <w:b w:val="false"/>
                <w:bCs w:val="false"/>
                <w:lang w:val="en-US"/>
              </w:rPr>
              <w:t>Jerome Roos (University of Cambridge/</w:t>
            </w:r>
            <w:r>
              <w:rPr>
                <w:b w:val="false"/>
                <w:bCs w:val="false"/>
                <w:i/>
                <w:iCs/>
                <w:lang w:val="en-US"/>
              </w:rPr>
              <w:t xml:space="preserve">ROAR </w:t>
            </w:r>
            <w:r>
              <w:rPr>
                <w:b w:val="false"/>
                <w:bCs w:val="false"/>
                <w:i w:val="false"/>
                <w:iCs w:val="false"/>
                <w:lang w:val="en-US"/>
              </w:rPr>
              <w:t>Magazine</w:t>
            </w:r>
            <w:r>
              <w:rPr>
                <w:b w:val="false"/>
                <w:bCs w:val="false"/>
                <w:lang w:val="en-US"/>
              </w:rPr>
              <w:t>)</w:t>
            </w:r>
            <w:r/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91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 w:val="24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WenQuanYi Micro Hei" w:cs="Lohit Devanagari"/>
      <w:color w:val="auto"/>
      <w:sz w:val="24"/>
      <w:szCs w:val="24"/>
      <w:lang w:val="de-DE" w:eastAsia="zh-CN" w:bidi="hi-IN"/>
    </w:rPr>
  </w:style>
  <w:style w:type="character" w:styleId="Aufzhlungszeichen">
    <w:name w:val="Aufzählungszeichen"/>
    <w:rPr>
      <w:rFonts w:ascii="OpenSymbol" w:hAnsi="OpenSymbol" w:eastAsia="OpenSymbol" w:cs="OpenSymbol"/>
    </w:rPr>
  </w:style>
  <w:style w:type="character" w:styleId="Starkbetont">
    <w:name w:val="Stark betont"/>
    <w:rPr>
      <w:b/>
      <w:bCs/>
    </w:rPr>
  </w:style>
  <w:style w:type="character" w:styleId="Betont">
    <w:name w:val="Betont"/>
    <w:rPr>
      <w:i/>
      <w:iCs/>
    </w:rPr>
  </w:style>
  <w:style w:type="paragraph" w:styleId="Berschrift">
    <w:name w:val="Überschrift"/>
    <w:basedOn w:val="Normal"/>
    <w:next w:val="Textkrper"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Lohit Devanagari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pPr>
      <w:suppressLineNumbers/>
    </w:pPr>
    <w:rPr>
      <w:rFonts w:cs="Lohit Devanagari"/>
    </w:rPr>
  </w:style>
  <w:style w:type="paragraph" w:styleId="TabellenInhalt">
    <w:name w:val="Tabellen Inhalt"/>
    <w:basedOn w:val="Normal"/>
    <w:pPr>
      <w:suppressLineNumbers/>
    </w:pPr>
    <w:rPr/>
  </w:style>
  <w:style w:type="paragraph" w:styleId="VorformatierterText">
    <w:name w:val="Vorformatierter Text"/>
    <w:basedOn w:val="Normal"/>
    <w:pPr>
      <w:spacing w:before="0" w:after="0"/>
    </w:pPr>
    <w:rPr>
      <w:rFonts w:ascii="Liberation Mono" w:hAnsi="Liberation Mono" w:eastAsia="Nimbus Mono L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19927</TotalTime>
  <Application>LibreOffice/4.3.3.2$Linux_X86_64 LibreOffice_project/430m0$Build-2</Application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2017-02-21T16:29:16Z</dcterms:created>
  <dc:creator>Grauer Schlanklori</dc:creator>
  <dc:language>de-DE</dc:language>
  <cp:lastModifiedBy>Grauer Schlanklori</cp:lastModifiedBy>
  <dcterms:modified xsi:type="dcterms:W3CDTF">2017-04-20T14:27:18Z</dcterms:modified>
  <cp:revision>95</cp:revision>
</cp:coreProperties>
</file>